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lastRenderedPageBreak/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7D976774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921090">
        <w:rPr>
          <w:rFonts w:ascii="Arial" w:hAnsi="Arial" w:cs="Arial"/>
          <w:noProof/>
          <w:sz w:val="20"/>
          <w:szCs w:val="20"/>
          <w:lang w:val="pl-PL"/>
        </w:rPr>
        <w:t xml:space="preserve"> z późn. zm.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kwalifikowalności na </w:t>
      </w:r>
      <w:r w:rsidR="00AF3F08" w:rsidRPr="00F4390F">
        <w:rPr>
          <w:rFonts w:ascii="Arial" w:hAnsi="Arial" w:cs="Arial"/>
          <w:noProof/>
          <w:sz w:val="20"/>
          <w:szCs w:val="20"/>
        </w:rPr>
        <w:lastRenderedPageBreak/>
        <w:t>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lastRenderedPageBreak/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Pzp w zakresie, w jakim ta ustawa Pzp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 umowy w sprawie zamówienia, stosuje się wersję ustawy Pzp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Pzp,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2023 r. poz. 571) lub stosowanie innych przewidzianych prawem trybów, w tym z ustawy z dnia 5 sierpnia 2022 r. o ekonomii </w:t>
      </w:r>
      <w:r w:rsidRPr="005A3144">
        <w:rPr>
          <w:rFonts w:ascii="Arial" w:hAnsi="Arial" w:cs="Arial"/>
          <w:sz w:val="20"/>
          <w:szCs w:val="20"/>
        </w:rPr>
        <w:lastRenderedPageBreak/>
        <w:t>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późn.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podstawie ustawy Pzp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5644A0F1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</w:t>
      </w:r>
      <w:r w:rsidR="00921090">
        <w:rPr>
          <w:rFonts w:ascii="Arial" w:hAnsi="Arial" w:cs="Arial"/>
          <w:sz w:val="20"/>
          <w:szCs w:val="20"/>
        </w:rPr>
        <w:t xml:space="preserve"> z późn. zm.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 xml:space="preserve">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</w:t>
      </w:r>
      <w:r w:rsidR="00DF7527" w:rsidRPr="00534734">
        <w:rPr>
          <w:rFonts w:ascii="Arial" w:hAnsi="Arial" w:cs="Arial"/>
          <w:noProof/>
          <w:sz w:val="20"/>
          <w:szCs w:val="20"/>
        </w:rPr>
        <w:lastRenderedPageBreak/>
        <w:t xml:space="preserve">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704AD3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28F33122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4B0AC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2F76165" w14:textId="77777777" w:rsidR="00473CC1" w:rsidRPr="001846C5" w:rsidRDefault="00473CC1" w:rsidP="007C03AF">
      <w:pPr>
        <w:rPr>
          <w:rFonts w:ascii="Arial" w:hAnsi="Arial" w:cs="Arial"/>
          <w:noProof/>
          <w:sz w:val="20"/>
          <w:szCs w:val="20"/>
        </w:rPr>
      </w:pPr>
    </w:p>
    <w:p w14:paraId="07601AD0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0CF15D1B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067104B4" w14:textId="77777777" w:rsidR="00E22ABA" w:rsidRPr="001846C5" w:rsidRDefault="00E22ABA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E22ABA" w:rsidRPr="001846C5" w:rsidSect="0054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20D26" w14:textId="77777777" w:rsidR="00127967" w:rsidRDefault="00127967" w:rsidP="008B66D8">
      <w:r>
        <w:separator/>
      </w:r>
    </w:p>
  </w:endnote>
  <w:endnote w:type="continuationSeparator" w:id="0">
    <w:p w14:paraId="5B98E898" w14:textId="77777777" w:rsidR="00127967" w:rsidRDefault="00127967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4B113" w14:textId="77777777" w:rsidR="00127967" w:rsidRDefault="00127967" w:rsidP="008B66D8">
      <w:r>
        <w:separator/>
      </w:r>
    </w:p>
  </w:footnote>
  <w:footnote w:type="continuationSeparator" w:id="0">
    <w:p w14:paraId="563D2BE2" w14:textId="77777777" w:rsidR="00127967" w:rsidRDefault="00127967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rojektu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r w:rsidRPr="00276BDA">
        <w:rPr>
          <w:rFonts w:ascii="Arial" w:hAnsi="Arial" w:cs="Arial"/>
          <w:sz w:val="18"/>
          <w:szCs w:val="18"/>
        </w:rPr>
        <w:t xml:space="preserve">rojekt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r w:rsidRPr="00276BDA">
        <w:rPr>
          <w:rFonts w:ascii="Arial" w:hAnsi="Arial" w:cs="Arial"/>
          <w:sz w:val="18"/>
          <w:szCs w:val="18"/>
        </w:rPr>
        <w:t>dy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danej/ch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uprawnionej/ych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1C04"/>
    <w:rsid w:val="006C4152"/>
    <w:rsid w:val="006C433E"/>
    <w:rsid w:val="006C49C2"/>
    <w:rsid w:val="006D1D23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11528/Wytyczne_monitorowanie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7462</Words>
  <Characters>44776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52134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Michał Ratajczyk</cp:lastModifiedBy>
  <cp:revision>11</cp:revision>
  <cp:lastPrinted>2017-08-17T14:14:00Z</cp:lastPrinted>
  <dcterms:created xsi:type="dcterms:W3CDTF">2023-08-31T15:32:00Z</dcterms:created>
  <dcterms:modified xsi:type="dcterms:W3CDTF">2023-12-19T12:05:00Z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